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D" w:rsidRPr="00163492" w:rsidRDefault="0067199D" w:rsidP="0067199D">
      <w:pPr>
        <w:spacing w:after="0" w:line="240" w:lineRule="auto"/>
        <w:jc w:val="center"/>
        <w:rPr>
          <w:b/>
          <w:sz w:val="24"/>
          <w:szCs w:val="24"/>
        </w:rPr>
      </w:pPr>
      <w:r w:rsidRPr="00163492">
        <w:rPr>
          <w:b/>
          <w:sz w:val="24"/>
          <w:szCs w:val="24"/>
        </w:rPr>
        <w:t>SURVEILLANCE POLICY</w:t>
      </w:r>
    </w:p>
    <w:p w:rsidR="0067199D" w:rsidRPr="00163492" w:rsidRDefault="0067199D" w:rsidP="0067199D">
      <w:pPr>
        <w:spacing w:after="0" w:line="240" w:lineRule="auto"/>
        <w:jc w:val="center"/>
        <w:rPr>
          <w:b/>
          <w:sz w:val="24"/>
          <w:szCs w:val="24"/>
        </w:rPr>
      </w:pPr>
      <w:r w:rsidRPr="00163492">
        <w:rPr>
          <w:b/>
          <w:sz w:val="24"/>
          <w:szCs w:val="24"/>
        </w:rPr>
        <w:t xml:space="preserve">(As approved by Board of </w:t>
      </w:r>
      <w:proofErr w:type="gramStart"/>
      <w:r w:rsidRPr="00163492">
        <w:rPr>
          <w:b/>
          <w:sz w:val="24"/>
          <w:szCs w:val="24"/>
        </w:rPr>
        <w:t xml:space="preserve">Directors </w:t>
      </w:r>
      <w:r w:rsidR="00BA77FC" w:rsidRPr="00163492">
        <w:rPr>
          <w:b/>
          <w:sz w:val="24"/>
          <w:szCs w:val="24"/>
        </w:rPr>
        <w:t>)</w:t>
      </w:r>
      <w:proofErr w:type="gramEnd"/>
    </w:p>
    <w:p w:rsidR="0067199D" w:rsidRPr="00163492" w:rsidRDefault="0067199D" w:rsidP="0067199D">
      <w:pPr>
        <w:spacing w:after="0"/>
        <w:rPr>
          <w:sz w:val="24"/>
          <w:szCs w:val="24"/>
        </w:rPr>
      </w:pPr>
    </w:p>
    <w:p w:rsidR="0067199D" w:rsidRPr="00163492" w:rsidRDefault="00AF13D4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>W</w:t>
      </w:r>
      <w:r w:rsidR="0067199D" w:rsidRPr="00163492">
        <w:rPr>
          <w:sz w:val="24"/>
          <w:szCs w:val="24"/>
        </w:rPr>
        <w:t>ith a view to facilitate effective surveillance at the Member level, the Exchange will be providing the following alerts based on the trading activity on the Exchange platform.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>Transactional Alerts:</w:t>
      </w:r>
    </w:p>
    <w:tbl>
      <w:tblPr>
        <w:tblStyle w:val="TableGrid"/>
        <w:tblW w:w="0" w:type="auto"/>
        <w:tblLook w:val="04A0"/>
      </w:tblPr>
      <w:tblGrid>
        <w:gridCol w:w="570"/>
        <w:gridCol w:w="4935"/>
        <w:gridCol w:w="4071"/>
      </w:tblGrid>
      <w:tr w:rsidR="00AF13D4" w:rsidRPr="00163492" w:rsidTr="00AF13D4">
        <w:tc>
          <w:tcPr>
            <w:tcW w:w="5505" w:type="dxa"/>
            <w:gridSpan w:val="2"/>
          </w:tcPr>
          <w:p w:rsidR="00AF13D4" w:rsidRPr="00163492" w:rsidRDefault="00AF13D4" w:rsidP="003D78CF">
            <w:pPr>
              <w:rPr>
                <w:b/>
                <w:sz w:val="24"/>
                <w:szCs w:val="24"/>
              </w:rPr>
            </w:pPr>
            <w:r w:rsidRPr="00163492">
              <w:rPr>
                <w:b/>
                <w:sz w:val="24"/>
                <w:szCs w:val="24"/>
              </w:rPr>
              <w:t>Sr. No.                                           Transactional Alerts</w:t>
            </w:r>
          </w:p>
        </w:tc>
        <w:tc>
          <w:tcPr>
            <w:tcW w:w="4071" w:type="dxa"/>
          </w:tcPr>
          <w:p w:rsidR="00AF13D4" w:rsidRPr="00163492" w:rsidRDefault="00AF13D4" w:rsidP="00AF13D4">
            <w:pPr>
              <w:ind w:left="672"/>
              <w:rPr>
                <w:b/>
                <w:sz w:val="24"/>
                <w:szCs w:val="24"/>
              </w:rPr>
            </w:pPr>
            <w:r w:rsidRPr="00163492">
              <w:rPr>
                <w:b/>
                <w:sz w:val="24"/>
                <w:szCs w:val="24"/>
              </w:rPr>
              <w:t>Periodicity</w:t>
            </w:r>
          </w:p>
        </w:tc>
      </w:tr>
      <w:tr w:rsidR="00AF13D4" w:rsidRPr="00163492" w:rsidTr="00AF13D4">
        <w:tc>
          <w:tcPr>
            <w:tcW w:w="570" w:type="dxa"/>
          </w:tcPr>
          <w:p w:rsidR="00AF13D4" w:rsidRPr="00163492" w:rsidRDefault="00AF13D4" w:rsidP="003D78CF">
            <w:pPr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AF13D4" w:rsidRPr="00163492" w:rsidRDefault="00AF13D4" w:rsidP="00AF13D4">
            <w:pPr>
              <w:ind w:left="27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Significant increase in client activity</w:t>
            </w:r>
          </w:p>
        </w:tc>
        <w:tc>
          <w:tcPr>
            <w:tcW w:w="4071" w:type="dxa"/>
          </w:tcPr>
          <w:p w:rsidR="00AF13D4" w:rsidRPr="00163492" w:rsidRDefault="00AF13D4" w:rsidP="00AF13D4">
            <w:pPr>
              <w:ind w:left="294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Monthly</w:t>
            </w:r>
          </w:p>
        </w:tc>
      </w:tr>
      <w:tr w:rsidR="00AF13D4" w:rsidRPr="00163492" w:rsidTr="00AF13D4">
        <w:tc>
          <w:tcPr>
            <w:tcW w:w="570" w:type="dxa"/>
          </w:tcPr>
          <w:p w:rsidR="00AF13D4" w:rsidRPr="00163492" w:rsidRDefault="00AF13D4" w:rsidP="003D78CF">
            <w:pPr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AF13D4" w:rsidRPr="00163492" w:rsidRDefault="00AF13D4" w:rsidP="00AF13D4">
            <w:pPr>
              <w:ind w:left="27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Sudden trading activity in dormant account</w:t>
            </w:r>
          </w:p>
        </w:tc>
        <w:tc>
          <w:tcPr>
            <w:tcW w:w="4071" w:type="dxa"/>
          </w:tcPr>
          <w:p w:rsidR="00AF13D4" w:rsidRPr="00163492" w:rsidRDefault="00AF13D4" w:rsidP="00AF13D4">
            <w:pPr>
              <w:ind w:left="294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Monthly</w:t>
            </w:r>
          </w:p>
        </w:tc>
      </w:tr>
      <w:tr w:rsidR="00AF13D4" w:rsidRPr="00163492" w:rsidTr="00AF13D4">
        <w:tc>
          <w:tcPr>
            <w:tcW w:w="570" w:type="dxa"/>
          </w:tcPr>
          <w:p w:rsidR="00AF13D4" w:rsidRPr="00163492" w:rsidRDefault="00AF13D4" w:rsidP="003D78CF">
            <w:pPr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AF13D4" w:rsidRPr="00163492" w:rsidRDefault="00AF13D4" w:rsidP="00AF13D4">
            <w:pPr>
              <w:ind w:left="27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Wash Sales/ Self-Trades</w:t>
            </w:r>
          </w:p>
        </w:tc>
        <w:tc>
          <w:tcPr>
            <w:tcW w:w="4071" w:type="dxa"/>
          </w:tcPr>
          <w:p w:rsidR="00AF13D4" w:rsidRPr="00163492" w:rsidRDefault="00AF13D4" w:rsidP="00AF13D4">
            <w:pPr>
              <w:ind w:left="309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Daily</w:t>
            </w:r>
          </w:p>
        </w:tc>
      </w:tr>
      <w:tr w:rsidR="00AF13D4" w:rsidRPr="00163492" w:rsidTr="00AF13D4">
        <w:tc>
          <w:tcPr>
            <w:tcW w:w="570" w:type="dxa"/>
          </w:tcPr>
          <w:p w:rsidR="00AF13D4" w:rsidRPr="00163492" w:rsidRDefault="00AF13D4" w:rsidP="003D78CF">
            <w:pPr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AF13D4" w:rsidRPr="00163492" w:rsidRDefault="00AF13D4" w:rsidP="00AF13D4">
            <w:pPr>
              <w:ind w:left="27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Concentrated Open Interest position</w:t>
            </w:r>
          </w:p>
        </w:tc>
        <w:tc>
          <w:tcPr>
            <w:tcW w:w="4071" w:type="dxa"/>
          </w:tcPr>
          <w:p w:rsidR="00AF13D4" w:rsidRPr="00163492" w:rsidRDefault="00AF13D4" w:rsidP="00AF13D4">
            <w:pPr>
              <w:ind w:left="309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Daily</w:t>
            </w:r>
          </w:p>
        </w:tc>
      </w:tr>
      <w:tr w:rsidR="00AF13D4" w:rsidRPr="00163492" w:rsidTr="00AF13D4">
        <w:tc>
          <w:tcPr>
            <w:tcW w:w="570" w:type="dxa"/>
          </w:tcPr>
          <w:p w:rsidR="00AF13D4" w:rsidRPr="00163492" w:rsidRDefault="00AF13D4" w:rsidP="003D78CF">
            <w:pPr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AF13D4" w:rsidRPr="00163492" w:rsidRDefault="00AF13D4" w:rsidP="00AF13D4">
            <w:pPr>
              <w:ind w:left="27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High Turnover concentration</w:t>
            </w:r>
          </w:p>
        </w:tc>
        <w:tc>
          <w:tcPr>
            <w:tcW w:w="4071" w:type="dxa"/>
          </w:tcPr>
          <w:p w:rsidR="00AF13D4" w:rsidRPr="00163492" w:rsidRDefault="00AF13D4" w:rsidP="00AF13D4">
            <w:pPr>
              <w:ind w:left="294"/>
              <w:rPr>
                <w:sz w:val="24"/>
                <w:szCs w:val="24"/>
              </w:rPr>
            </w:pPr>
            <w:r w:rsidRPr="00163492">
              <w:rPr>
                <w:sz w:val="24"/>
                <w:szCs w:val="24"/>
              </w:rPr>
              <w:t>Daily</w:t>
            </w:r>
          </w:p>
        </w:tc>
      </w:tr>
    </w:tbl>
    <w:p w:rsidR="0067199D" w:rsidRPr="00163492" w:rsidRDefault="0067199D" w:rsidP="0067199D">
      <w:pPr>
        <w:rPr>
          <w:sz w:val="24"/>
          <w:szCs w:val="24"/>
        </w:rPr>
      </w:pP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 xml:space="preserve">The above transactional alerts are an indicative list. </w:t>
      </w:r>
      <w:proofErr w:type="spellStart"/>
      <w:r w:rsidR="00AF13D4" w:rsidRPr="00163492">
        <w:rPr>
          <w:sz w:val="24"/>
          <w:szCs w:val="24"/>
        </w:rPr>
        <w:t>Investsmart</w:t>
      </w:r>
      <w:proofErr w:type="spellEnd"/>
      <w:r w:rsidR="00AF13D4" w:rsidRPr="00163492">
        <w:rPr>
          <w:sz w:val="24"/>
          <w:szCs w:val="24"/>
        </w:rPr>
        <w:t xml:space="preserve"> commodities </w:t>
      </w:r>
      <w:proofErr w:type="gramStart"/>
      <w:r w:rsidR="00AF13D4" w:rsidRPr="00163492">
        <w:rPr>
          <w:sz w:val="24"/>
          <w:szCs w:val="24"/>
        </w:rPr>
        <w:t xml:space="preserve">Ltd </w:t>
      </w:r>
      <w:r w:rsidRPr="00163492">
        <w:rPr>
          <w:sz w:val="24"/>
          <w:szCs w:val="24"/>
        </w:rPr>
        <w:t xml:space="preserve"> may</w:t>
      </w:r>
      <w:proofErr w:type="gramEnd"/>
      <w:r w:rsidRPr="00163492">
        <w:rPr>
          <w:sz w:val="24"/>
          <w:szCs w:val="24"/>
        </w:rPr>
        <w:t xml:space="preserve"> also formulate their own alerts in addition to the above mentioned type of a </w:t>
      </w:r>
      <w:proofErr w:type="spellStart"/>
      <w:r w:rsidRPr="00163492">
        <w:rPr>
          <w:sz w:val="24"/>
          <w:szCs w:val="24"/>
        </w:rPr>
        <w:t>lerts</w:t>
      </w:r>
      <w:proofErr w:type="spellEnd"/>
      <w:r w:rsidRPr="00163492">
        <w:rPr>
          <w:sz w:val="24"/>
          <w:szCs w:val="24"/>
        </w:rPr>
        <w:t xml:space="preserve"> as per their surveillance policy.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 xml:space="preserve">The following activities </w:t>
      </w:r>
      <w:r w:rsidR="007C6571" w:rsidRPr="00163492">
        <w:rPr>
          <w:sz w:val="24"/>
          <w:szCs w:val="24"/>
        </w:rPr>
        <w:t>shall</w:t>
      </w:r>
      <w:r w:rsidRPr="00163492">
        <w:rPr>
          <w:sz w:val="24"/>
          <w:szCs w:val="24"/>
        </w:rPr>
        <w:t xml:space="preserve"> be carried out by the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Ltd</w:t>
      </w:r>
      <w:r w:rsidRPr="00163492">
        <w:rPr>
          <w:sz w:val="24"/>
          <w:szCs w:val="24"/>
        </w:rPr>
        <w:t xml:space="preserve"> based on UCC parameters: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>    Client(s) Information:</w:t>
      </w:r>
    </w:p>
    <w:p w:rsidR="0067199D" w:rsidRPr="00163492" w:rsidRDefault="00AF13D4" w:rsidP="0067199D">
      <w:pPr>
        <w:rPr>
          <w:b/>
          <w:sz w:val="24"/>
          <w:szCs w:val="24"/>
        </w:rPr>
      </w:pPr>
      <w:proofErr w:type="spellStart"/>
      <w:r w:rsidRPr="00163492">
        <w:rPr>
          <w:sz w:val="24"/>
          <w:szCs w:val="24"/>
        </w:rPr>
        <w:t>Investsmart</w:t>
      </w:r>
      <w:proofErr w:type="spellEnd"/>
      <w:r w:rsidRPr="00163492">
        <w:rPr>
          <w:sz w:val="24"/>
          <w:szCs w:val="24"/>
        </w:rPr>
        <w:t xml:space="preserve"> commodities Ltd</w:t>
      </w:r>
      <w:r w:rsidR="0067199D" w:rsidRPr="00163492">
        <w:rPr>
          <w:sz w:val="24"/>
          <w:szCs w:val="24"/>
        </w:rPr>
        <w:t xml:space="preserve"> </w:t>
      </w:r>
      <w:r w:rsidRPr="00163492">
        <w:rPr>
          <w:sz w:val="24"/>
          <w:szCs w:val="24"/>
        </w:rPr>
        <w:t>will</w:t>
      </w:r>
      <w:r w:rsidR="0067199D" w:rsidRPr="00163492">
        <w:rPr>
          <w:sz w:val="24"/>
          <w:szCs w:val="24"/>
        </w:rPr>
        <w:t xml:space="preserve"> carry out Due Diligence of its client(s) on a continuous basis. Further,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Ltd</w:t>
      </w:r>
      <w:r w:rsidR="0067199D" w:rsidRPr="00163492">
        <w:rPr>
          <w:sz w:val="24"/>
          <w:szCs w:val="24"/>
        </w:rPr>
        <w:t xml:space="preserve"> shall ensure that key KYC parameters are updated on a  periodic basis as  prescribed by SEBI and latest information of the client, including information  pertaining  to  directors/  partners/  trustees/  </w:t>
      </w:r>
      <w:proofErr w:type="spellStart"/>
      <w:r w:rsidR="0067199D" w:rsidRPr="00163492">
        <w:rPr>
          <w:sz w:val="24"/>
          <w:szCs w:val="24"/>
        </w:rPr>
        <w:t>karta</w:t>
      </w:r>
      <w:proofErr w:type="spellEnd"/>
      <w:r w:rsidR="0067199D" w:rsidRPr="00163492">
        <w:rPr>
          <w:sz w:val="24"/>
          <w:szCs w:val="24"/>
        </w:rPr>
        <w:t xml:space="preserve">  in  case  of  non -individual clients, is updated in the UCC database of the Exchange. Based on this inform </w:t>
      </w:r>
      <w:proofErr w:type="spellStart"/>
      <w:r w:rsidR="0067199D" w:rsidRPr="00163492">
        <w:rPr>
          <w:sz w:val="24"/>
          <w:szCs w:val="24"/>
        </w:rPr>
        <w:t>ation</w:t>
      </w:r>
      <w:proofErr w:type="spellEnd"/>
      <w:r w:rsidR="0067199D" w:rsidRPr="00163492">
        <w:rPr>
          <w:sz w:val="24"/>
          <w:szCs w:val="24"/>
        </w:rPr>
        <w:t xml:space="preserve"> the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Ltd</w:t>
      </w:r>
      <w:r w:rsidR="0067199D" w:rsidRPr="00163492">
        <w:rPr>
          <w:sz w:val="24"/>
          <w:szCs w:val="24"/>
        </w:rPr>
        <w:t xml:space="preserve"> </w:t>
      </w:r>
      <w:r w:rsidR="007C6571" w:rsidRPr="00163492">
        <w:rPr>
          <w:sz w:val="24"/>
          <w:szCs w:val="24"/>
        </w:rPr>
        <w:t>will</w:t>
      </w:r>
      <w:r w:rsidR="0067199D" w:rsidRPr="00163492">
        <w:rPr>
          <w:sz w:val="24"/>
          <w:szCs w:val="24"/>
        </w:rPr>
        <w:t xml:space="preserve"> establish groups / association amongst clients to identify multiple accounts / common account / group of clients. </w:t>
      </w:r>
      <w:proofErr w:type="spellStart"/>
      <w:r w:rsidR="007C6571" w:rsidRPr="00937A98">
        <w:rPr>
          <w:sz w:val="24"/>
          <w:szCs w:val="24"/>
        </w:rPr>
        <w:t>Investsmart</w:t>
      </w:r>
      <w:proofErr w:type="spellEnd"/>
      <w:r w:rsidR="007C6571" w:rsidRPr="00937A98">
        <w:rPr>
          <w:sz w:val="24"/>
          <w:szCs w:val="24"/>
        </w:rPr>
        <w:t xml:space="preserve"> commodities Ltd</w:t>
      </w:r>
      <w:r w:rsidR="0067199D" w:rsidRPr="00937A98">
        <w:rPr>
          <w:sz w:val="24"/>
          <w:szCs w:val="24"/>
        </w:rPr>
        <w:t xml:space="preserve"> </w:t>
      </w:r>
      <w:r w:rsidR="007C6571" w:rsidRPr="00937A98">
        <w:rPr>
          <w:sz w:val="24"/>
          <w:szCs w:val="24"/>
        </w:rPr>
        <w:t>will</w:t>
      </w:r>
      <w:r w:rsidR="0067199D" w:rsidRPr="00937A98">
        <w:rPr>
          <w:sz w:val="24"/>
          <w:szCs w:val="24"/>
        </w:rPr>
        <w:t xml:space="preserve"> profile their clients and categorize the clients under one of the categories, namely, Commercial participant (e.g. value chain participant/ exporter/ importer, hedger, etc.) or Non-commercial participant (e.g. financial participant/ trader/ arbitrager, etc.)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>    Analysis: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 xml:space="preserve">In order to analyze the trading activity of the Client(s) / Group of Client(s) or Commodity identified based on above alerts, the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</w:t>
      </w:r>
      <w:proofErr w:type="gramStart"/>
      <w:r w:rsidR="007C6571" w:rsidRPr="00163492">
        <w:rPr>
          <w:sz w:val="24"/>
          <w:szCs w:val="24"/>
        </w:rPr>
        <w:t>Ltd</w:t>
      </w:r>
      <w:r w:rsidRPr="00163492">
        <w:rPr>
          <w:sz w:val="24"/>
          <w:szCs w:val="24"/>
        </w:rPr>
        <w:t xml:space="preserve"> </w:t>
      </w:r>
      <w:r w:rsidR="007C6571" w:rsidRPr="00163492">
        <w:rPr>
          <w:sz w:val="24"/>
          <w:szCs w:val="24"/>
        </w:rPr>
        <w:t xml:space="preserve"> may</w:t>
      </w:r>
      <w:proofErr w:type="gramEnd"/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lastRenderedPageBreak/>
        <w:t>a.   Seek explanation from such identified Client(s) / Group of Client(s) for entering into such transactions.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 xml:space="preserve">b.   </w:t>
      </w:r>
      <w:proofErr w:type="gramStart"/>
      <w:r w:rsidRPr="00163492">
        <w:rPr>
          <w:sz w:val="24"/>
          <w:szCs w:val="24"/>
        </w:rPr>
        <w:t>Seek  documentary</w:t>
      </w:r>
      <w:proofErr w:type="gramEnd"/>
      <w:r w:rsidRPr="00163492">
        <w:rPr>
          <w:sz w:val="24"/>
          <w:szCs w:val="24"/>
        </w:rPr>
        <w:t xml:space="preserve"> evidence such  as  bank  statement  /  COMTRACK®   transaction statement (commodities with compulsory delivery) or any other documents to satisfy itself.</w:t>
      </w: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>1.  In case of funds, Bank statements of the Client(s) / Group of Client(s) from which funds pay-in have been met, to be sought. In case of commodities with compulsory delivery, documentary evidence including COMTRACK®  account statements of the Client(s) / Group of Client(s) f or which commodities pay-in has been met, to be sought.</w:t>
      </w:r>
    </w:p>
    <w:p w:rsidR="0067199D" w:rsidRPr="00163492" w:rsidRDefault="0067199D" w:rsidP="0067199D">
      <w:pPr>
        <w:rPr>
          <w:sz w:val="24"/>
          <w:szCs w:val="24"/>
        </w:rPr>
      </w:pPr>
    </w:p>
    <w:p w:rsidR="0067199D" w:rsidRPr="00163492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>2.  The period</w:t>
      </w:r>
      <w:r w:rsidR="007C6571" w:rsidRPr="00163492">
        <w:rPr>
          <w:sz w:val="24"/>
          <w:szCs w:val="24"/>
        </w:rPr>
        <w:t xml:space="preserve"> o</w:t>
      </w:r>
      <w:r w:rsidRPr="00163492">
        <w:rPr>
          <w:sz w:val="24"/>
          <w:szCs w:val="24"/>
        </w:rPr>
        <w:t xml:space="preserve">f or such statements may be at least +/ - 15 days f </w:t>
      </w:r>
      <w:proofErr w:type="spellStart"/>
      <w:r w:rsidRPr="00163492">
        <w:rPr>
          <w:sz w:val="24"/>
          <w:szCs w:val="24"/>
        </w:rPr>
        <w:t>ro</w:t>
      </w:r>
      <w:proofErr w:type="spellEnd"/>
      <w:r w:rsidRPr="00163492">
        <w:rPr>
          <w:sz w:val="24"/>
          <w:szCs w:val="24"/>
        </w:rPr>
        <w:t xml:space="preserve"> m the d ate </w:t>
      </w:r>
      <w:proofErr w:type="gramStart"/>
      <w:r w:rsidRPr="00163492">
        <w:rPr>
          <w:sz w:val="24"/>
          <w:szCs w:val="24"/>
        </w:rPr>
        <w:t>of  transactions</w:t>
      </w:r>
      <w:proofErr w:type="gramEnd"/>
      <w:r w:rsidRPr="00163492">
        <w:rPr>
          <w:sz w:val="24"/>
          <w:szCs w:val="24"/>
        </w:rPr>
        <w:t xml:space="preserve"> to verify whether the funds   for the settlement of such trades actually belongs to the client for whom the trades were transacted.</w:t>
      </w:r>
    </w:p>
    <w:p w:rsidR="0067199D" w:rsidRDefault="0067199D" w:rsidP="0067199D">
      <w:pPr>
        <w:rPr>
          <w:sz w:val="24"/>
          <w:szCs w:val="24"/>
        </w:rPr>
      </w:pPr>
      <w:r w:rsidRPr="00163492">
        <w:rPr>
          <w:sz w:val="24"/>
          <w:szCs w:val="24"/>
        </w:rPr>
        <w:t xml:space="preserve">c.   After  analyzing  the  documentary evidences,  including  the  bank  /  COMTRACK® statement, the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Ltd</w:t>
      </w:r>
      <w:r w:rsidRPr="00163492">
        <w:rPr>
          <w:sz w:val="24"/>
          <w:szCs w:val="24"/>
        </w:rPr>
        <w:t xml:space="preserve"> shall record its observations for such identified transactions  or   Client(s)  /  Group  of  Client(s).  Only  in  case  where  adverse observations are recorded, the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Ltd</w:t>
      </w:r>
      <w:r w:rsidRPr="00163492">
        <w:rPr>
          <w:sz w:val="24"/>
          <w:szCs w:val="24"/>
        </w:rPr>
        <w:t xml:space="preserve"> </w:t>
      </w:r>
      <w:r w:rsidR="007C6571" w:rsidRPr="00163492">
        <w:rPr>
          <w:sz w:val="24"/>
          <w:szCs w:val="24"/>
        </w:rPr>
        <w:t xml:space="preserve">is required to </w:t>
      </w:r>
      <w:r w:rsidRPr="00163492">
        <w:rPr>
          <w:sz w:val="24"/>
          <w:szCs w:val="24"/>
        </w:rPr>
        <w:t xml:space="preserve"> report all such instances to the Exchange  within  45  days  of  the  alert  generation. The </w:t>
      </w:r>
      <w:proofErr w:type="spellStart"/>
      <w:r w:rsidR="007C6571" w:rsidRPr="00163492">
        <w:rPr>
          <w:sz w:val="24"/>
          <w:szCs w:val="24"/>
        </w:rPr>
        <w:t>Investsmart</w:t>
      </w:r>
      <w:proofErr w:type="spellEnd"/>
      <w:r w:rsidR="007C6571" w:rsidRPr="00163492">
        <w:rPr>
          <w:sz w:val="24"/>
          <w:szCs w:val="24"/>
        </w:rPr>
        <w:t xml:space="preserve"> commodities Ltd</w:t>
      </w:r>
      <w:r w:rsidRPr="00163492">
        <w:rPr>
          <w:sz w:val="24"/>
          <w:szCs w:val="24"/>
        </w:rPr>
        <w:t xml:space="preserve"> may seek extension of the time period from the Exchange, wherever required.</w:t>
      </w:r>
    </w:p>
    <w:p w:rsidR="00163492" w:rsidRPr="00163492" w:rsidRDefault="0038404F" w:rsidP="0038404F">
      <w:pPr>
        <w:rPr>
          <w:rFonts w:cs="Arial"/>
          <w:color w:val="000000"/>
          <w:sz w:val="24"/>
          <w:szCs w:val="24"/>
          <w:lang w:bidi="ar-SA"/>
        </w:rPr>
      </w:pPr>
      <w:r w:rsidRPr="0038404F">
        <w:rPr>
          <w:sz w:val="24"/>
          <w:szCs w:val="24"/>
        </w:rPr>
        <w:t xml:space="preserve">RECORD </w:t>
      </w:r>
      <w:proofErr w:type="gramStart"/>
      <w:r w:rsidRPr="0038404F">
        <w:rPr>
          <w:sz w:val="24"/>
          <w:szCs w:val="24"/>
        </w:rPr>
        <w:t xml:space="preserve">KEEPING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163492" w:rsidRPr="00163492">
        <w:rPr>
          <w:sz w:val="24"/>
          <w:szCs w:val="24"/>
        </w:rPr>
        <w:t>Investsmart</w:t>
      </w:r>
      <w:proofErr w:type="spellEnd"/>
      <w:r w:rsidR="00163492" w:rsidRPr="00163492">
        <w:rPr>
          <w:sz w:val="24"/>
          <w:szCs w:val="24"/>
        </w:rPr>
        <w:t xml:space="preserve"> commodities Ltd</w:t>
      </w:r>
      <w:r w:rsidR="00163492" w:rsidRPr="00163492">
        <w:rPr>
          <w:rFonts w:cs="Arial"/>
          <w:color w:val="000000"/>
          <w:sz w:val="24"/>
          <w:szCs w:val="24"/>
          <w:lang w:bidi="ar-SA"/>
        </w:rPr>
        <w:t xml:space="preserve"> will ensure compliance with the record keeping requirements contained in the SEBI Act, 1992, Rules and Regulations made there-under, PMLA </w:t>
      </w:r>
      <w:proofErr w:type="spellStart"/>
      <w:r w:rsidR="00163492" w:rsidRPr="00163492">
        <w:rPr>
          <w:rFonts w:cs="Arial"/>
          <w:color w:val="000000"/>
          <w:sz w:val="24"/>
          <w:szCs w:val="24"/>
          <w:lang w:bidi="ar-SA"/>
        </w:rPr>
        <w:t>aswell</w:t>
      </w:r>
      <w:proofErr w:type="spellEnd"/>
      <w:r w:rsidR="00163492" w:rsidRPr="00163492">
        <w:rPr>
          <w:rFonts w:cs="Arial"/>
          <w:color w:val="000000"/>
          <w:sz w:val="24"/>
          <w:szCs w:val="24"/>
          <w:lang w:bidi="ar-SA"/>
        </w:rPr>
        <w:t xml:space="preserve"> as other relevant legislation, Rules, Regulations, Exchange Bye-laws and Circulars.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  <w:lang w:bidi="ar-SA"/>
        </w:rPr>
      </w:pPr>
      <w:r w:rsidRPr="00163492">
        <w:rPr>
          <w:rFonts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163492">
        <w:rPr>
          <w:sz w:val="24"/>
          <w:szCs w:val="24"/>
        </w:rPr>
        <w:t>Investsmart</w:t>
      </w:r>
      <w:proofErr w:type="spellEnd"/>
      <w:r w:rsidRPr="00163492">
        <w:rPr>
          <w:sz w:val="24"/>
          <w:szCs w:val="24"/>
        </w:rPr>
        <w:t xml:space="preserve"> commodities </w:t>
      </w:r>
      <w:proofErr w:type="gramStart"/>
      <w:r w:rsidRPr="00163492">
        <w:rPr>
          <w:sz w:val="24"/>
          <w:szCs w:val="24"/>
        </w:rPr>
        <w:t>Ltd  will</w:t>
      </w:r>
      <w:proofErr w:type="gramEnd"/>
      <w:r w:rsidRPr="00163492">
        <w:rPr>
          <w:sz w:val="24"/>
          <w:szCs w:val="24"/>
        </w:rPr>
        <w:t xml:space="preserve"> </w:t>
      </w:r>
      <w:r w:rsidRPr="00163492">
        <w:rPr>
          <w:rFonts w:cs="Arial"/>
          <w:color w:val="000000"/>
          <w:sz w:val="24"/>
          <w:szCs w:val="24"/>
          <w:lang w:bidi="ar-SA"/>
        </w:rPr>
        <w:t>maintain such records as are sufficient to permit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proofErr w:type="gramStart"/>
      <w:r w:rsidRPr="00163492">
        <w:rPr>
          <w:rFonts w:cs="Arial"/>
          <w:color w:val="000000"/>
          <w:sz w:val="24"/>
          <w:szCs w:val="24"/>
          <w:lang w:bidi="ar-SA"/>
        </w:rPr>
        <w:t>reconstruction</w:t>
      </w:r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 xml:space="preserve"> of individual transactions (including the amounts and types of currencies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proofErr w:type="gramStart"/>
      <w:r w:rsidRPr="00163492">
        <w:rPr>
          <w:rFonts w:cs="Arial"/>
          <w:color w:val="000000"/>
          <w:sz w:val="24"/>
          <w:szCs w:val="24"/>
          <w:lang w:bidi="ar-SA"/>
        </w:rPr>
        <w:t>involved</w:t>
      </w:r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>, if any) so as to provide, if necessary, evidence for prosecution of criminal</w:t>
      </w:r>
    </w:p>
    <w:p w:rsidR="005C379F" w:rsidRPr="00163492" w:rsidRDefault="00163492" w:rsidP="00163492">
      <w:pPr>
        <w:rPr>
          <w:sz w:val="24"/>
          <w:szCs w:val="24"/>
        </w:rPr>
      </w:pPr>
      <w:proofErr w:type="spellStart"/>
      <w:proofErr w:type="gramStart"/>
      <w:r w:rsidRPr="00163492">
        <w:rPr>
          <w:rFonts w:cs="Arial"/>
          <w:color w:val="000000"/>
          <w:sz w:val="24"/>
          <w:szCs w:val="24"/>
          <w:lang w:bidi="ar-SA"/>
        </w:rPr>
        <w:t>behaviour</w:t>
      </w:r>
      <w:proofErr w:type="spellEnd"/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>.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proofErr w:type="spellStart"/>
      <w:r w:rsidRPr="00163492">
        <w:rPr>
          <w:sz w:val="24"/>
          <w:szCs w:val="24"/>
        </w:rPr>
        <w:t>Investsmart</w:t>
      </w:r>
      <w:proofErr w:type="spellEnd"/>
      <w:r w:rsidRPr="00163492">
        <w:rPr>
          <w:sz w:val="24"/>
          <w:szCs w:val="24"/>
        </w:rPr>
        <w:t xml:space="preserve"> commodities Ltd </w:t>
      </w:r>
      <w:proofErr w:type="gramStart"/>
      <w:r w:rsidRPr="00163492">
        <w:rPr>
          <w:sz w:val="24"/>
          <w:szCs w:val="24"/>
        </w:rPr>
        <w:t xml:space="preserve">will  </w:t>
      </w:r>
      <w:r w:rsidRPr="00163492">
        <w:rPr>
          <w:rFonts w:cs="Arial"/>
          <w:color w:val="000000"/>
          <w:sz w:val="24"/>
          <w:szCs w:val="24"/>
          <w:lang w:bidi="ar-SA"/>
        </w:rPr>
        <w:t>ensure</w:t>
      </w:r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 xml:space="preserve"> that all client and transaction records and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proofErr w:type="gramStart"/>
      <w:r w:rsidRPr="00163492">
        <w:rPr>
          <w:rFonts w:cs="Arial"/>
          <w:color w:val="000000"/>
          <w:sz w:val="24"/>
          <w:szCs w:val="24"/>
          <w:lang w:bidi="ar-SA"/>
        </w:rPr>
        <w:t>information</w:t>
      </w:r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 xml:space="preserve"> are available on a timely basis to the competent investigating authorities.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r w:rsidRPr="00163492">
        <w:rPr>
          <w:rFonts w:cs="Arial"/>
          <w:color w:val="000000"/>
          <w:sz w:val="24"/>
          <w:szCs w:val="24"/>
          <w:lang w:bidi="ar-SA"/>
        </w:rPr>
        <w:t>Where required by the investigating authority, they shall retain certain records, e.g. client identification, account files, and business correspondence, for periods which may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proofErr w:type="gramStart"/>
      <w:r w:rsidRPr="00163492">
        <w:rPr>
          <w:rFonts w:cs="Arial"/>
          <w:color w:val="000000"/>
          <w:sz w:val="24"/>
          <w:szCs w:val="24"/>
          <w:lang w:bidi="ar-SA"/>
        </w:rPr>
        <w:t>exceed</w:t>
      </w:r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 xml:space="preserve"> those required under the SEBI Act, Rules and Regulations framed there-under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r w:rsidRPr="00163492">
        <w:rPr>
          <w:rFonts w:cs="Arial"/>
          <w:color w:val="000000"/>
          <w:sz w:val="24"/>
          <w:szCs w:val="24"/>
          <w:lang w:bidi="ar-SA"/>
        </w:rPr>
        <w:t>PMLA, other relevant legislations, Rules and Regulations or Exchange bye-laws or</w:t>
      </w:r>
    </w:p>
    <w:p w:rsidR="00163492" w:rsidRPr="00163492" w:rsidRDefault="00163492" w:rsidP="0016349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/>
          <w:sz w:val="24"/>
          <w:szCs w:val="24"/>
          <w:lang w:bidi="ar-SA"/>
        </w:rPr>
      </w:pPr>
      <w:proofErr w:type="gramStart"/>
      <w:r w:rsidRPr="00163492">
        <w:rPr>
          <w:rFonts w:cs="Arial"/>
          <w:color w:val="000000"/>
          <w:sz w:val="24"/>
          <w:szCs w:val="24"/>
          <w:lang w:bidi="ar-SA"/>
        </w:rPr>
        <w:t>circulars</w:t>
      </w:r>
      <w:proofErr w:type="gramEnd"/>
      <w:r w:rsidRPr="00163492">
        <w:rPr>
          <w:rFonts w:cs="Arial"/>
          <w:color w:val="000000"/>
          <w:sz w:val="24"/>
          <w:szCs w:val="24"/>
          <w:lang w:bidi="ar-SA"/>
        </w:rPr>
        <w:t>.</w:t>
      </w:r>
    </w:p>
    <w:p w:rsidR="005C379F" w:rsidRPr="00163492" w:rsidRDefault="005C379F" w:rsidP="0067199D">
      <w:pPr>
        <w:rPr>
          <w:sz w:val="24"/>
          <w:szCs w:val="24"/>
        </w:rPr>
      </w:pPr>
    </w:p>
    <w:sectPr w:rsidR="005C379F" w:rsidRPr="00163492" w:rsidSect="00715C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E3" w:rsidRDefault="00E114E3" w:rsidP="0067199D">
      <w:pPr>
        <w:spacing w:after="0" w:line="240" w:lineRule="auto"/>
      </w:pPr>
      <w:r>
        <w:separator/>
      </w:r>
    </w:p>
  </w:endnote>
  <w:endnote w:type="continuationSeparator" w:id="0">
    <w:p w:rsidR="00E114E3" w:rsidRDefault="00E114E3" w:rsidP="006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E3" w:rsidRDefault="00E114E3" w:rsidP="0067199D">
      <w:pPr>
        <w:spacing w:after="0" w:line="240" w:lineRule="auto"/>
      </w:pPr>
      <w:r>
        <w:separator/>
      </w:r>
    </w:p>
  </w:footnote>
  <w:footnote w:type="continuationSeparator" w:id="0">
    <w:p w:rsidR="00E114E3" w:rsidRDefault="00E114E3" w:rsidP="006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D" w:rsidRDefault="0067199D" w:rsidP="0067199D">
    <w:pPr>
      <w:pStyle w:val="Header"/>
      <w:jc w:val="right"/>
    </w:pPr>
    <w:r w:rsidRPr="0067199D">
      <w:rPr>
        <w:noProof/>
        <w:lang w:bidi="ar-SA"/>
      </w:rPr>
      <w:drawing>
        <wp:inline distT="0" distB="0" distL="0" distR="0">
          <wp:extent cx="1581150" cy="8001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9D"/>
    <w:rsid w:val="0002389E"/>
    <w:rsid w:val="000639E9"/>
    <w:rsid w:val="00163492"/>
    <w:rsid w:val="001A6E0A"/>
    <w:rsid w:val="00223DBB"/>
    <w:rsid w:val="002D0B4A"/>
    <w:rsid w:val="0038404F"/>
    <w:rsid w:val="00530764"/>
    <w:rsid w:val="00541C7B"/>
    <w:rsid w:val="00567898"/>
    <w:rsid w:val="005C379F"/>
    <w:rsid w:val="005F256F"/>
    <w:rsid w:val="00666D62"/>
    <w:rsid w:val="0067199D"/>
    <w:rsid w:val="00705ABD"/>
    <w:rsid w:val="00715CAB"/>
    <w:rsid w:val="00731C52"/>
    <w:rsid w:val="007C6571"/>
    <w:rsid w:val="00854B00"/>
    <w:rsid w:val="00937A98"/>
    <w:rsid w:val="00A10368"/>
    <w:rsid w:val="00AE4C95"/>
    <w:rsid w:val="00AF13D4"/>
    <w:rsid w:val="00BA77FC"/>
    <w:rsid w:val="00C01A6E"/>
    <w:rsid w:val="00E114E3"/>
    <w:rsid w:val="00F1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6F"/>
  </w:style>
  <w:style w:type="paragraph" w:styleId="Heading1">
    <w:name w:val="heading 1"/>
    <w:basedOn w:val="Normal"/>
    <w:next w:val="Normal"/>
    <w:link w:val="Heading1Char"/>
    <w:uiPriority w:val="9"/>
    <w:qFormat/>
    <w:rsid w:val="005F25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5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5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5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5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5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5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5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5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5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5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56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5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25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5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25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256F"/>
    <w:rPr>
      <w:b/>
      <w:color w:val="C0504D" w:themeColor="accent2"/>
    </w:rPr>
  </w:style>
  <w:style w:type="character" w:styleId="Emphasis">
    <w:name w:val="Emphasis"/>
    <w:uiPriority w:val="20"/>
    <w:qFormat/>
    <w:rsid w:val="005F25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25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256F"/>
  </w:style>
  <w:style w:type="paragraph" w:styleId="ListParagraph">
    <w:name w:val="List Paragraph"/>
    <w:basedOn w:val="Normal"/>
    <w:uiPriority w:val="34"/>
    <w:qFormat/>
    <w:rsid w:val="005F25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5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25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5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5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F256F"/>
    <w:rPr>
      <w:i/>
    </w:rPr>
  </w:style>
  <w:style w:type="character" w:styleId="IntenseEmphasis">
    <w:name w:val="Intense Emphasis"/>
    <w:uiPriority w:val="21"/>
    <w:qFormat/>
    <w:rsid w:val="005F25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F256F"/>
    <w:rPr>
      <w:b/>
    </w:rPr>
  </w:style>
  <w:style w:type="character" w:styleId="IntenseReference">
    <w:name w:val="Intense Reference"/>
    <w:uiPriority w:val="32"/>
    <w:qFormat/>
    <w:rsid w:val="005F25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25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56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7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99D"/>
  </w:style>
  <w:style w:type="paragraph" w:styleId="Footer">
    <w:name w:val="footer"/>
    <w:basedOn w:val="Normal"/>
    <w:link w:val="FooterChar"/>
    <w:uiPriority w:val="99"/>
    <w:semiHidden/>
    <w:unhideWhenUsed/>
    <w:rsid w:val="0067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99D"/>
  </w:style>
  <w:style w:type="paragraph" w:styleId="BalloonText">
    <w:name w:val="Balloon Text"/>
    <w:basedOn w:val="Normal"/>
    <w:link w:val="BalloonTextChar"/>
    <w:uiPriority w:val="99"/>
    <w:semiHidden/>
    <w:unhideWhenUsed/>
    <w:rsid w:val="006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2018-10-12T05:52:00Z</cp:lastPrinted>
  <dcterms:created xsi:type="dcterms:W3CDTF">2018-04-20T09:23:00Z</dcterms:created>
  <dcterms:modified xsi:type="dcterms:W3CDTF">2018-10-12T05:55:00Z</dcterms:modified>
</cp:coreProperties>
</file>